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0E3DA">
      <w:pPr>
        <w:spacing w:line="1440" w:lineRule="exact"/>
        <w:ind w:left="-315" w:leftChars="-150" w:right="-420" w:rightChars="-200"/>
        <w:textAlignment w:val="center"/>
        <w:outlineLvl w:val="0"/>
        <w:rPr>
          <w:rFonts w:hint="eastAsia" w:ascii="方正小标宋简体" w:hAnsi="方正小标宋简体" w:eastAsia="方正小标宋简体" w:cs="方正小标宋简体"/>
          <w:color w:val="FF0000"/>
          <w:spacing w:val="-23"/>
          <w:w w:val="58"/>
          <w:sz w:val="144"/>
          <w:szCs w:val="96"/>
        </w:rPr>
      </w:pPr>
      <w:r>
        <w:rPr>
          <w:rFonts w:hint="eastAsia" w:ascii="方正小标宋简体" w:hAnsi="方正小标宋简体" w:eastAsia="方正小标宋简体" w:cs="方正小标宋简体"/>
          <w:color w:val="FF0000"/>
          <w:spacing w:val="-22"/>
          <w:w w:val="58"/>
          <w:sz w:val="130"/>
          <w:szCs w:val="130"/>
        </w:rPr>
        <w:t>枣庄市山亭区应急管理局文件</w:t>
      </w:r>
    </w:p>
    <w:p w14:paraId="1BE1D6B9">
      <w:pPr>
        <w:spacing w:line="560" w:lineRule="exact"/>
        <w:rPr>
          <w:rFonts w:hint="eastAsia" w:ascii="仿宋_GB2312" w:hAnsi="微软雅黑" w:eastAsia="仿宋_GB2312" w:cs="宋体"/>
          <w:kern w:val="0"/>
          <w:sz w:val="32"/>
          <w:szCs w:val="32"/>
          <w:lang w:eastAsia="zh-CN"/>
        </w:rPr>
      </w:pPr>
    </w:p>
    <w:p w14:paraId="41F73759">
      <w:pPr>
        <w:spacing w:line="8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山应急发〔2026〕</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号</w:t>
      </w:r>
    </w:p>
    <w:p w14:paraId="44131764">
      <w:pPr>
        <w:spacing w:line="520" w:lineRule="exact"/>
        <w:ind w:firstLine="2240" w:firstLineChars="700"/>
        <w:jc w:val="center"/>
      </w:pPr>
      <w:r>
        <w:rPr>
          <w:rFonts w:ascii="方正小标宋简体" w:hAnsi="微软雅黑" w:eastAsia="方正小标宋简体" w:cs="宋体"/>
          <w:kern w:val="0"/>
          <w:sz w:val="32"/>
          <w:szCs w:val="32"/>
        </w:rPr>
        <mc:AlternateContent>
          <mc:Choice Requires="wps">
            <w:drawing>
              <wp:anchor distT="0" distB="0" distL="114300" distR="114300" simplePos="0" relativeHeight="251660288" behindDoc="0" locked="0" layoutInCell="1" allowOverlap="1">
                <wp:simplePos x="0" y="0"/>
                <wp:positionH relativeFrom="column">
                  <wp:posOffset>-141605</wp:posOffset>
                </wp:positionH>
                <wp:positionV relativeFrom="paragraph">
                  <wp:posOffset>158115</wp:posOffset>
                </wp:positionV>
                <wp:extent cx="5715000" cy="0"/>
                <wp:effectExtent l="0" t="13970" r="0" b="24130"/>
                <wp:wrapNone/>
                <wp:docPr id="2" name="直线 4"/>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rgbClr val="FF0000"/>
                          </a:solidFill>
                          <a:round/>
                        </a:ln>
                        <a:effectLst/>
                      </wps:spPr>
                      <wps:bodyPr/>
                    </wps:wsp>
                  </a:graphicData>
                </a:graphic>
              </wp:anchor>
            </w:drawing>
          </mc:Choice>
          <mc:Fallback>
            <w:pict>
              <v:line id="直线 4" o:spid="_x0000_s1026" o:spt="20" style="position:absolute;left:0pt;margin-left:-11.15pt;margin-top:12.45pt;height:0pt;width:450pt;z-index:251660288;mso-width-relative:page;mso-height-relative:page;" filled="f" stroked="t" coordsize="21600,21600" o:gfxdata="UEsDBAoAAAAAAIdO4kAAAAAAAAAAAAAAAAAEAAAAZHJzL1BLAwQUAAAACACHTuJAbT9HndgAAAAJ&#10;AQAADwAAAGRycy9kb3ducmV2LnhtbE2Py07DMBBF90j9B2sqsWudGkRCiFMVBDsk1PDo1o2ncdR4&#10;HMVumv49RixgOTNHd84t1pPt2IiDbx1JWC0TYEi10y01Ej7eXxYZMB8UadU5QgkX9LAuZ1eFyrU7&#10;0xbHKjQshpDPlQQTQp9z7muDVvml65Hi7eAGq0Ich4brQZ1juO24SJI7blVL8YNRPT4ZrI/VyUqY&#10;vrKN2b2Gx2f3+WaO066yo7hIeT1fJQ/AAk7hD4Yf/agOZXTauxNpzzoJCyFuIipB3N4Di0CWpimw&#10;/e+ClwX/36D8BlBLAwQUAAAACACHTuJA+cqzsd0BAACwAwAADgAAAGRycy9lMm9Eb2MueG1srVNL&#10;btswEN0X6B0I7mvJRt0EguUsbLibtDWQ9ABjipKIkhyCpC35LL1GV930OLlGh/SnTbrJohuCnM+b&#10;eW+Gi7vRaHaQPii0NZ9OSs6kFdgo29X86+Pm3S1nIYJtQKOVNT/KwO+Wb98sBlfJGfaoG+kZgdhQ&#10;Da7mfYyuKoogemkgTNBJS84WvYFIT98VjYeB0I0uZmX5oRjQN86jkCGQdX1y8jOifw0gtq0Sco1i&#10;b6SNJ1QvNUSiFHrlAl/mbttWivilbYOMTNecmMZ8UhG679JZLBdQdR5cr8S5BXhNCy84GVCWil6h&#10;1hCB7b36B8oo4TFgGycCTXEikhUhFtPyhTYPPTiZuZDUwV1FD/8PVnw+bD1TTc1nnFkwNPCn7z+e&#10;fv5i75M2gwsVhazs1id2YrQP7h7Ft8Asrnqwncw9Ph4dJU5TRvEsJT2Cowq74RM2FAP7iFmosfUm&#10;QZIEbMzzOF7nIcfIBBnnN9N5WdKoxMVXQHVJdD7EjxINS5eaa2WTVFDB4T7E1AhUl5BktrhRWudx&#10;a8sG4ns7v5nnjIBaNcmb4oLvdivt2QFoYzYbKp+XhNCehXnc2+ZURduUJ/OynUtfaJ8E3GFz3PqL&#10;NjTI3Nx56dKm/P3OCv75aM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bT9HndgAAAAJAQAADwAA&#10;AAAAAAABACAAAAAiAAAAZHJzL2Rvd25yZXYueG1sUEsBAhQAFAAAAAgAh07iQPnKs7HdAQAAsAMA&#10;AA4AAAAAAAAAAQAgAAAAJwEAAGRycy9lMm9Eb2MueG1sUEsFBgAAAAAGAAYAWQEAAHYFAAAAAA==&#10;">
                <v:fill on="f" focussize="0,0"/>
                <v:stroke weight="2.25pt" color="#FF0000" joinstyle="round"/>
                <v:imagedata o:title=""/>
                <o:lock v:ext="edit" aspectratio="f"/>
              </v:line>
            </w:pict>
          </mc:Fallback>
        </mc:AlternateContent>
      </w:r>
    </w:p>
    <w:p w14:paraId="2B752ACD">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关于印发《山亭区应急管理局服务小微工贸</w:t>
      </w:r>
    </w:p>
    <w:p w14:paraId="48F7BB49">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企业助力安全生产管理水平提升行动方案》的通知</w:t>
      </w:r>
    </w:p>
    <w:p w14:paraId="62D8BDED">
      <w:pPr>
        <w:spacing w:line="560" w:lineRule="exact"/>
        <w:jc w:val="center"/>
        <w:rPr>
          <w:rFonts w:hint="eastAsia" w:ascii="方正小标宋简体" w:hAnsi="方正小标宋简体" w:eastAsia="方正小标宋简体" w:cs="方正小标宋简体"/>
          <w:sz w:val="44"/>
          <w:szCs w:val="44"/>
        </w:rPr>
      </w:pPr>
    </w:p>
    <w:p w14:paraId="2FFB2835">
      <w:pPr>
        <w:widowControl/>
        <w:spacing w:line="560" w:lineRule="exact"/>
        <w:jc w:val="left"/>
      </w:pPr>
      <w:r>
        <w:rPr>
          <w:rFonts w:ascii="仿宋_GB2312" w:hAnsi="宋体" w:eastAsia="仿宋_GB2312" w:cs="仿宋_GB2312"/>
          <w:color w:val="000000"/>
          <w:kern w:val="0"/>
          <w:sz w:val="31"/>
          <w:szCs w:val="31"/>
          <w:lang w:bidi="ar"/>
        </w:rPr>
        <w:t>各镇（街）应急安全保障中心，局相关股室、局属单位，有关企业：</w:t>
      </w:r>
    </w:p>
    <w:p w14:paraId="51423D70">
      <w:pPr>
        <w:widowControl/>
        <w:spacing w:line="560" w:lineRule="exact"/>
        <w:ind w:firstLine="620" w:firstLineChars="200"/>
        <w:jc w:val="left"/>
      </w:pPr>
      <w:r>
        <w:rPr>
          <w:rFonts w:hint="eastAsia" w:ascii="仿宋_GB2312" w:hAnsi="宋体" w:eastAsia="仿宋_GB2312" w:cs="仿宋_GB2312"/>
          <w:color w:val="000000"/>
          <w:kern w:val="0"/>
          <w:sz w:val="31"/>
          <w:szCs w:val="31"/>
          <w:lang w:bidi="ar"/>
        </w:rPr>
        <w:t>现将《山亭区应急管理局服务小微工贸企业助力安全生产管理水平提升行动方案》印发给你们，请结合实际认真抓好贯彻落实。</w:t>
      </w:r>
    </w:p>
    <w:p w14:paraId="753BD6C3">
      <w:pPr>
        <w:widowControl/>
        <w:spacing w:line="560" w:lineRule="exact"/>
        <w:jc w:val="left"/>
        <w:rPr>
          <w:rFonts w:hint="eastAsia" w:ascii="仿宋_GB2312" w:hAnsi="宋体" w:eastAsia="仿宋_GB2312" w:cs="仿宋_GB2312"/>
          <w:color w:val="000000"/>
          <w:kern w:val="0"/>
          <w:sz w:val="31"/>
          <w:szCs w:val="31"/>
          <w:lang w:bidi="ar"/>
        </w:rPr>
      </w:pPr>
    </w:p>
    <w:p w14:paraId="13AAF852">
      <w:pPr>
        <w:widowControl/>
        <w:spacing w:line="560" w:lineRule="exact"/>
        <w:jc w:val="left"/>
        <w:rPr>
          <w:rFonts w:hint="eastAsia" w:ascii="仿宋_GB2312" w:hAnsi="宋体" w:eastAsia="仿宋_GB2312" w:cs="仿宋_GB2312"/>
          <w:color w:val="000000"/>
          <w:kern w:val="0"/>
          <w:sz w:val="31"/>
          <w:szCs w:val="31"/>
          <w:lang w:bidi="ar"/>
        </w:rPr>
      </w:pPr>
    </w:p>
    <w:p w14:paraId="21051079">
      <w:pPr>
        <w:widowControl/>
        <w:spacing w:line="560" w:lineRule="exact"/>
        <w:ind w:firstLine="4340" w:firstLineChars="1400"/>
        <w:jc w:val="left"/>
      </w:pPr>
      <w:r>
        <w:rPr>
          <w:rFonts w:hint="eastAsia" w:ascii="仿宋_GB2312" w:hAnsi="宋体" w:eastAsia="仿宋_GB2312" w:cs="仿宋_GB2312"/>
          <w:color w:val="000000"/>
          <w:kern w:val="0"/>
          <w:sz w:val="31"/>
          <w:szCs w:val="31"/>
          <w:lang w:bidi="ar"/>
        </w:rPr>
        <w:t>枣庄市山亭区应急管理局</w:t>
      </w:r>
    </w:p>
    <w:p w14:paraId="5A55ABA7">
      <w:pPr>
        <w:widowControl/>
        <w:spacing w:line="560" w:lineRule="exact"/>
        <w:ind w:firstLine="4650" w:firstLineChars="1500"/>
        <w:jc w:val="left"/>
        <w:rPr>
          <w:rFonts w:hint="eastAsia" w:ascii="仿宋_GB2312" w:hAnsi="宋体" w:eastAsia="仿宋_GB2312" w:cs="仿宋_GB2312"/>
          <w:color w:val="000000"/>
          <w:kern w:val="0"/>
          <w:sz w:val="31"/>
          <w:szCs w:val="31"/>
          <w:lang w:bidi="ar"/>
        </w:rPr>
      </w:pPr>
      <w:r>
        <w:rPr>
          <w:rFonts w:hint="eastAsia" w:ascii="仿宋_GB2312" w:hAnsi="宋体" w:eastAsia="仿宋_GB2312" w:cs="仿宋_GB2312"/>
          <w:color w:val="000000"/>
          <w:kern w:val="0"/>
          <w:sz w:val="31"/>
          <w:szCs w:val="31"/>
          <w:lang w:bidi="ar"/>
        </w:rPr>
        <w:t>2026年5月6日</w:t>
      </w:r>
    </w:p>
    <w:p w14:paraId="23A6FA44">
      <w:pPr>
        <w:spacing w:line="560" w:lineRule="exact"/>
        <w:rPr>
          <w:rFonts w:hint="eastAsia" w:ascii="方正小标宋简体" w:hAnsi="方正小标宋简体" w:eastAsia="方正小标宋简体" w:cs="方正小标宋简体"/>
          <w:sz w:val="44"/>
          <w:szCs w:val="44"/>
        </w:rPr>
      </w:pPr>
      <w:r>
        <w:rPr>
          <w:rFonts w:hint="eastAsia" w:ascii="仿宋_GB2312" w:hAnsi="宋体" w:eastAsia="仿宋_GB2312" w:cs="仿宋_GB2312"/>
          <w:color w:val="000000"/>
          <w:kern w:val="0"/>
          <w:sz w:val="31"/>
          <w:szCs w:val="31"/>
          <w:lang w:bidi="ar"/>
        </w:rPr>
        <w:br w:type="page"/>
      </w:r>
    </w:p>
    <w:p w14:paraId="57DBB8F3">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山亭区应急管理局服务小微工贸企业</w:t>
      </w:r>
    </w:p>
    <w:p w14:paraId="23532F9A">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助力安全生产管理水平提升行动方案</w:t>
      </w:r>
    </w:p>
    <w:p w14:paraId="4955DAF2">
      <w:pPr>
        <w:spacing w:line="560" w:lineRule="exact"/>
        <w:ind w:firstLine="640" w:firstLineChars="200"/>
        <w:rPr>
          <w:rFonts w:hint="eastAsia" w:ascii="仿宋_GB2312" w:hAnsi="仿宋_GB2312" w:eastAsia="仿宋_GB2312" w:cs="仿宋_GB2312"/>
          <w:sz w:val="32"/>
          <w:szCs w:val="32"/>
        </w:rPr>
      </w:pPr>
    </w:p>
    <w:p w14:paraId="7DBD51F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安全生产治本攻坚三年行动部署，紧扣山亭区“服务企业年”工作要求，聚焦小微工贸企业，以标杆创建、定点帮扶、智慧赋能、以点带面、系统治理为路径，全面提升全区小微工贸企业安全管理规范化、标准化、智能化水平，坚决防范遏制生产安全事故，特制定本行动方案。</w:t>
      </w:r>
    </w:p>
    <w:p w14:paraId="62FFACE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一、总体要求</w:t>
      </w:r>
    </w:p>
    <w:p w14:paraId="05991122">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以习近平总书记关于安全生产重要论述为根本遵循，以安全生产治本攻坚三年行动为指引，紧扣“知风险、能管控，查隐患、要闭环，培考练、会应急”核心要求，对标小微企业安全生产标准化管理体系，坚持监管与服务并重、执法与帮扶并举，推动实现从分散监管向系统治理、从被动整改向主动预防、从单打独斗</w:t>
      </w:r>
      <w:r>
        <w:rPr>
          <w:rFonts w:hint="eastAsia" w:ascii="仿宋_GB2312" w:hAnsi="仿宋_GB2312" w:eastAsia="仿宋_GB2312" w:cs="仿宋_GB2312"/>
          <w:sz w:val="32"/>
          <w:szCs w:val="32"/>
          <w:highlight w:val="none"/>
        </w:rPr>
        <w:t>向联盟共治三个转变，精准培育标杆企业，示范带动全域提升，筑牢小微企业安全生产防线。</w:t>
      </w:r>
    </w:p>
    <w:p w14:paraId="5C32F874">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本方案适用于全区工贸行业领域小微企业（按照《统计上大中小微型企业划分办法》），重点覆盖有限空间、粉尘涉爆、涉氨制冷、危险作业等高风险环节企业。</w:t>
      </w:r>
    </w:p>
    <w:p w14:paraId="2A724F56">
      <w:pPr>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二、工作任务及安排</w:t>
      </w:r>
    </w:p>
    <w:p w14:paraId="7E5A5DDF">
      <w:pPr>
        <w:spacing w:line="560" w:lineRule="exact"/>
        <w:ind w:firstLine="640" w:firstLineChars="200"/>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（一）精准选定标杆，开展定点帮扶</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2026年5-7月</w:t>
      </w:r>
      <w:r>
        <w:rPr>
          <w:rFonts w:hint="eastAsia" w:ascii="楷体_GB2312" w:hAnsi="楷体_GB2312" w:eastAsia="楷体_GB2312" w:cs="楷体_GB2312"/>
          <w:sz w:val="32"/>
          <w:szCs w:val="32"/>
          <w:highlight w:val="none"/>
          <w:lang w:eastAsia="zh-CN"/>
        </w:rPr>
        <w:t>）</w:t>
      </w:r>
    </w:p>
    <w:p w14:paraId="6BD026B9">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严格筛选标杆企业。坚持“优中选优、示范引领、贴合实际”原则，结合辖区小微工贸企业分布特点、行业类型、安全生产基础条件，筛选出经营状况稳定、具备一定安全管理基础、愿意主动配合帮扶创建、能发挥示范带动作用的企业作为标杆。筛选过程中，联合镇（街）应急安全保障中心开展实地核查，重点核查企业安全生产管理制度建立、隐患排查治理、应急管理等基础情况，</w:t>
      </w:r>
      <w:r>
        <w:rPr>
          <w:rFonts w:hint="eastAsia" w:ascii="仿宋_GB2312" w:hAnsi="仿宋_GB2312" w:eastAsia="仿宋_GB2312" w:cs="仿宋_GB2312"/>
          <w:sz w:val="32"/>
          <w:szCs w:val="32"/>
          <w:highlight w:val="none"/>
          <w:lang w:val="en-US" w:eastAsia="zh-CN"/>
        </w:rPr>
        <w:t>5月15日前</w:t>
      </w:r>
      <w:r>
        <w:rPr>
          <w:rFonts w:hint="eastAsia" w:ascii="仿宋_GB2312" w:hAnsi="仿宋_GB2312" w:eastAsia="仿宋_GB2312" w:cs="仿宋_GB2312"/>
          <w:sz w:val="32"/>
          <w:szCs w:val="32"/>
          <w:highlight w:val="none"/>
        </w:rPr>
        <w:t>最终确定标杆企业名单，确保标杆企业的代表性和可复制性，为后续帮扶工作和经验推广奠定基础。</w:t>
      </w:r>
    </w:p>
    <w:p w14:paraId="2B6A8B02">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2.落实帮扶责任。确定标杆企业名单后，区应急局建立工作人员“一对一”定点包干帮扶机制，明确各帮扶责任人、具体帮扶内容、创建标准及完成时限，同步建立“一企一策”帮扶台账，</w:t>
      </w:r>
      <w:r>
        <w:rPr>
          <w:rFonts w:hint="eastAsia" w:ascii="仿宋_GB2312" w:hAnsi="仿宋_GB2312" w:eastAsia="仿宋_GB2312" w:cs="仿宋_GB2312"/>
          <w:sz w:val="32"/>
          <w:szCs w:val="32"/>
          <w:highlight w:val="none"/>
          <w:lang w:val="en-US" w:eastAsia="zh-CN"/>
        </w:rPr>
        <w:t>5月底前</w:t>
      </w:r>
      <w:r>
        <w:rPr>
          <w:rFonts w:hint="eastAsia" w:ascii="仿宋_GB2312" w:hAnsi="仿宋_GB2312" w:eastAsia="仿宋_GB2312" w:cs="仿宋_GB2312"/>
          <w:sz w:val="32"/>
          <w:szCs w:val="32"/>
          <w:highlight w:val="none"/>
        </w:rPr>
        <w:t>确保帮扶责任到人、任务到岗、措施到位，推动帮扶工作落地落细。</w:t>
      </w:r>
    </w:p>
    <w:p w14:paraId="316392AF">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全面诊断摸底。帮扶责任人严格对照《小微企业安全生产标准化管理体系要求》《工贸行业小微企业安全生产管理指南》，聘请高水平专家对标杆企业开展全要素安全体检，全面排查各类安全风险和事故隐患，建立问题清单、责任清单、整改清单，实行销号管理，做到底数清、情况明、整改实，为后续精准帮扶提供依据。</w:t>
      </w:r>
    </w:p>
    <w:p w14:paraId="53FF1DF0">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4.强化主体责任提醒。向企业送达《安全生产主体责任提醒书》，明确安全员配备、风险辨识、隐患排查、危险作业审批、外包管理、应急储备等核心责任，压实企业主体责任。</w:t>
      </w:r>
    </w:p>
    <w:p w14:paraId="7D2C5C45">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开展智慧监管试点。在标杆企业中率先开展智慧监管试点工作，运用数字化手段提升标杆企业安全监管效能，为每家标杆企业生成专属二维码并张贴于厂区醒目位置，实现一码通办，扫码可查看企业基本信息、风险分级、隐患清单、检查记录、制度文件，企业可扫码上报自查情况，帮扶及监管人员可扫码上传检查执法记录，实现全程留痕、可追溯；同时指导标杆企业规范制作《安全生产信息公示牌》，统一公示企业名称、行业类型、分类分级、主要风险点、负责人及安全管理人员信息、隐患排查治理情况、应急联系方式、举报电话等内容，确保公示信息规范清晰、醒目可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月底前完成试点落地。</w:t>
      </w:r>
    </w:p>
    <w:p w14:paraId="29DCCC56">
      <w:pPr>
        <w:spacing w:line="560" w:lineRule="exact"/>
        <w:ind w:firstLine="640" w:firstLineChars="200"/>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（二）对标标准体系，健全管理机制</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2026年5-9月</w:t>
      </w:r>
      <w:r>
        <w:rPr>
          <w:rFonts w:hint="eastAsia" w:ascii="楷体_GB2312" w:hAnsi="楷体_GB2312" w:eastAsia="楷体_GB2312" w:cs="楷体_GB2312"/>
          <w:sz w:val="32"/>
          <w:szCs w:val="32"/>
          <w:highlight w:val="none"/>
          <w:lang w:eastAsia="zh-CN"/>
        </w:rPr>
        <w:t>）</w:t>
      </w:r>
    </w:p>
    <w:p w14:paraId="1697D018">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6.压实全员责任。健全主要负责人负总责、全员参与的安全生产责任制，明确岗位安全职责、考核标准，落实安全投入、工伤保险、教育培训，规范外包管理与交叉作业统一指挥。</w:t>
      </w:r>
    </w:p>
    <w:p w14:paraId="5916DBD2">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强化风险管控。全面辨识设备设施、作业场所、危险作业等风险，分级分类管控；规范安全警示、定置管理、劳动防护、消防设施、变更管理，淘汰落后工艺设备，推进机械化换人、自动化减人、智能化无人改造。</w:t>
      </w:r>
    </w:p>
    <w:p w14:paraId="5CFBDC7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8.闭环隐患治理。建立健全隐患排查治理机制，实行报告—整改—复查—销号闭环；落实内部隐患报告奖励制度，激发全员参与，构建“企业自治+全员监督”隐患排查体系。</w:t>
      </w:r>
    </w:p>
    <w:p w14:paraId="454648AE">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9.夯实应急基础。结合企业实际编制简易实用应急预案、现场处置方案，配齐应急物资，定期开展培训演练，提升会报警、会避险、会处置、会自救互救能力。</w:t>
      </w:r>
    </w:p>
    <w:p w14:paraId="345F0790">
      <w:pPr>
        <w:spacing w:line="560" w:lineRule="exact"/>
        <w:ind w:firstLine="640" w:firstLineChars="200"/>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（三）标杆培育提升，提炼可复制经验</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2026年8-9月</w:t>
      </w:r>
      <w:r>
        <w:rPr>
          <w:rFonts w:hint="eastAsia" w:ascii="楷体_GB2312" w:hAnsi="楷体_GB2312" w:eastAsia="楷体_GB2312" w:cs="楷体_GB2312"/>
          <w:sz w:val="32"/>
          <w:szCs w:val="32"/>
          <w:highlight w:val="none"/>
          <w:lang w:eastAsia="zh-CN"/>
        </w:rPr>
        <w:t>）</w:t>
      </w:r>
    </w:p>
    <w:p w14:paraId="3CB1FCAC">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10.深化经验提炼。系统总结标杆企业在制度建设、现场规范、二维码应用、公示管理、定点帮扶、集聚共治等方面的成熟做法，梳理形成可借鉴、可复制、可推广的小微工贸企业安全生产管理经验。</w:t>
      </w:r>
    </w:p>
    <w:p w14:paraId="133738C4">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11.培育安全“明白人”。以标杆企业为重点，每家至少培育1名安全管理“明白人”，使其熟练掌握风险辨识、隐患排查、培训演练、应急处置等核心技能，发挥行业“传帮带”骨干作用。</w:t>
      </w:r>
    </w:p>
    <w:p w14:paraId="4889685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12.打造示范样板。以点带面提升标杆企业创建质量，形成可对标、可参照、可推广的示范标杆，9月底前全面完成标杆企业创建，为全区小微工贸企业安全生产标准化建设提供示范引领为全区小微工贸企业安全生产标准化建设提供示范引领。</w:t>
      </w:r>
    </w:p>
    <w:p w14:paraId="5A754AE4">
      <w:pPr>
        <w:spacing w:line="560" w:lineRule="exact"/>
        <w:ind w:firstLine="576" w:firstLineChars="200"/>
        <w:rPr>
          <w:rFonts w:hint="eastAsia" w:ascii="楷体_GB2312" w:hAnsi="楷体_GB2312" w:eastAsia="楷体_GB2312" w:cs="楷体_GB2312"/>
          <w:w w:val="90"/>
          <w:sz w:val="32"/>
          <w:szCs w:val="32"/>
          <w:highlight w:val="none"/>
          <w:lang w:eastAsia="zh-CN"/>
        </w:rPr>
      </w:pPr>
      <w:r>
        <w:rPr>
          <w:rFonts w:hint="eastAsia" w:ascii="楷体_GB2312" w:hAnsi="楷体_GB2312" w:eastAsia="楷体_GB2312" w:cs="楷体_GB2312"/>
          <w:w w:val="90"/>
          <w:sz w:val="32"/>
          <w:szCs w:val="32"/>
          <w:highlight w:val="none"/>
        </w:rPr>
        <w:t>（四）示范推广扩面，全域对标提升</w:t>
      </w:r>
      <w:r>
        <w:rPr>
          <w:rFonts w:hint="eastAsia" w:ascii="楷体_GB2312" w:hAnsi="楷体_GB2312" w:eastAsia="楷体_GB2312" w:cs="楷体_GB2312"/>
          <w:w w:val="90"/>
          <w:sz w:val="32"/>
          <w:szCs w:val="32"/>
          <w:highlight w:val="none"/>
          <w:lang w:eastAsia="zh-CN"/>
        </w:rPr>
        <w:t>（</w:t>
      </w:r>
      <w:r>
        <w:rPr>
          <w:rFonts w:hint="eastAsia" w:ascii="楷体_GB2312" w:hAnsi="楷体_GB2312" w:eastAsia="楷体_GB2312" w:cs="楷体_GB2312"/>
          <w:w w:val="90"/>
          <w:sz w:val="32"/>
          <w:szCs w:val="32"/>
          <w:highlight w:val="none"/>
          <w:lang w:val="en-US" w:eastAsia="zh-CN"/>
        </w:rPr>
        <w:t>2026年10月起，长效推进</w:t>
      </w:r>
      <w:r>
        <w:rPr>
          <w:rFonts w:hint="eastAsia" w:ascii="楷体_GB2312" w:hAnsi="楷体_GB2312" w:eastAsia="楷体_GB2312" w:cs="楷体_GB2312"/>
          <w:w w:val="90"/>
          <w:sz w:val="32"/>
          <w:szCs w:val="32"/>
          <w:highlight w:val="none"/>
          <w:lang w:eastAsia="zh-CN"/>
        </w:rPr>
        <w:t>）</w:t>
      </w:r>
    </w:p>
    <w:p w14:paraId="60C6F2E1">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13.现场观摩对标。组织同行业小微企业到标杆企业开展现场观摩、学习对标，择优遴选标杆企业安全管理“明白人”交流分享实操经验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2026年年底前完成首轮现场观摩学习</w:t>
      </w:r>
      <w:r>
        <w:rPr>
          <w:rFonts w:hint="eastAsia" w:ascii="仿宋_GB2312" w:hAnsi="仿宋_GB2312" w:eastAsia="仿宋_GB2312" w:cs="仿宋_GB2312"/>
          <w:sz w:val="32"/>
          <w:szCs w:val="32"/>
          <w:highlight w:val="none"/>
        </w:rPr>
        <w:t>。</w:t>
      </w:r>
    </w:p>
    <w:p w14:paraId="4B608AB6">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14.分类分级监管。根据企业安全风险管控水平和管理能力，实行差异化监管，对示范企业减少检查频次、落实政策激励，对薄弱企业加大帮扶力度。</w:t>
      </w:r>
    </w:p>
    <w:p w14:paraId="51B65450">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15.全域覆盖提升。推动二维码监管全覆盖、信息公示全落实、标准化体系全落地，引导非标杆企业对照标杆补短板、对照标准强弱项，实现全域对标提升。</w:t>
      </w:r>
    </w:p>
    <w:p w14:paraId="5ACD65FD">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16.行业联盟共治。鼓励同类型企业组建安全联盟，建立行业自律机制，推动同类型企业相互学习、相互监督、互帮互助，共享安全管理经验和防控措施，形成同行业齐抓共管、协同共治的安全格局。</w:t>
      </w:r>
    </w:p>
    <w:p w14:paraId="14CE8E74">
      <w:pPr>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三、保障措施</w:t>
      </w:r>
    </w:p>
    <w:p w14:paraId="533BAF10">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（一）加强组织领导</w:t>
      </w:r>
    </w:p>
    <w:p w14:paraId="33B7D81F">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成立由区应急局分管负责同志任组长，相关业务科室人员为成员的提升行动工作组，统筹推进标杆创建、定点帮扶、智慧监管、经验推广等工作，确保任务到人、责任到岗、落地见效。</w:t>
      </w:r>
    </w:p>
    <w:p w14:paraId="2EEAF8E6">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（二）强化精准服务</w:t>
      </w:r>
    </w:p>
    <w:p w14:paraId="075B6F04">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紧扣山亭区“服务企业年”要求，坚持多服务、少干扰、重实效，杜绝形式主义；帮扶人员主动上门、靠前服务，帮助企业解难题、建机制、提能力，切实减轻企业负担。创新“派单+点单”服务模式，响应企业个性化安全需求。</w:t>
      </w:r>
    </w:p>
    <w:p w14:paraId="59BEAFAA">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（三）严格督导问效</w:t>
      </w:r>
    </w:p>
    <w:p w14:paraId="0365E3FA">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区应急局全程跟踪指导帮扶进展、创建质量，建立督导检查、通报约谈、挂牌督办机制，对工作扎实、成效突出的予以表扬激励；对推进缓慢、落实不到位的及时督促整改提升。</w:t>
      </w:r>
    </w:p>
    <w:p w14:paraId="76E7B1C7">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（四）营造浓厚氛围</w:t>
      </w:r>
    </w:p>
    <w:p w14:paraId="319C15D5">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多渠道宣传小微企业安全生产标准化建设意义、标杆企业经验、二维码监管便利度，提升企业主动创建、自主管理、自我提升积极性，营造“人人讲安全、个个会应急”良好氛围。</w:t>
      </w:r>
    </w:p>
    <w:p w14:paraId="4BFE4DA4">
      <w:pPr>
        <w:spacing w:line="560" w:lineRule="exact"/>
        <w:ind w:firstLine="640" w:firstLineChars="200"/>
        <w:rPr>
          <w:rFonts w:hint="eastAsia" w:ascii="仿宋_GB2312" w:hAnsi="仿宋_GB2312" w:eastAsia="仿宋_GB2312" w:cs="仿宋_GB2312"/>
          <w:sz w:val="32"/>
          <w:szCs w:val="32"/>
          <w:highlight w:val="none"/>
        </w:rPr>
      </w:pPr>
    </w:p>
    <w:p w14:paraId="75F56E6E">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附件：1.帮扶提升标杆企业推荐表</w:t>
      </w:r>
    </w:p>
    <w:p w14:paraId="639A7AB4">
      <w:pPr>
        <w:spacing w:line="560" w:lineRule="exact"/>
        <w:ind w:firstLine="640" w:firstLineChars="200"/>
        <w:rPr>
          <w:rFonts w:hint="eastAsia" w:ascii="仿宋_GB2312" w:hAnsi="仿宋_GB2312" w:eastAsia="仿宋_GB2312" w:cs="仿宋_GB2312"/>
          <w:sz w:val="32"/>
          <w:szCs w:val="32"/>
          <w:highlight w:val="none"/>
        </w:rPr>
        <w:sectPr>
          <w:footerReference r:id="rId3" w:type="default"/>
          <w:pgSz w:w="11906" w:h="16838"/>
          <w:pgMar w:top="2098" w:right="1474" w:bottom="1984" w:left="1587" w:header="851" w:footer="992" w:gutter="0"/>
          <w:pgNumType w:start="1"/>
          <w:cols w:space="425" w:num="1"/>
          <w:docGrid w:type="lines" w:linePitch="312" w:charSpace="0"/>
        </w:sectPr>
      </w:pPr>
      <w:r>
        <w:rPr>
          <w:rFonts w:hint="eastAsia" w:ascii="仿宋_GB2312" w:hAnsi="仿宋_GB2312" w:eastAsia="仿宋_GB2312" w:cs="仿宋_GB2312"/>
          <w:color w:val="FFFFFF" w:themeColor="background1"/>
          <w:sz w:val="32"/>
          <w:szCs w:val="32"/>
          <w:highlight w:val="none"/>
          <w14:textFill>
            <w14:solidFill>
              <w14:schemeClr w14:val="bg1"/>
            </w14:solidFill>
          </w14:textFill>
        </w:rPr>
        <w:t>附件：</w:t>
      </w:r>
      <w:r>
        <w:rPr>
          <w:rFonts w:hint="eastAsia" w:ascii="仿宋_GB2312" w:hAnsi="仿宋_GB2312" w:eastAsia="仿宋_GB2312" w:cs="仿宋_GB2312"/>
          <w:sz w:val="32"/>
          <w:szCs w:val="32"/>
          <w:highlight w:val="none"/>
        </w:rPr>
        <w:t>2.工贸行业小微企业安全管理指南</w:t>
      </w:r>
    </w:p>
    <w:p w14:paraId="38623843">
      <w:pPr>
        <w:spacing w:line="560" w:lineRule="exact"/>
        <w:rPr>
          <w:rFonts w:hint="eastAsia" w:ascii="黑体" w:hAnsi="黑体" w:eastAsia="黑体" w:cs="黑体"/>
          <w:color w:val="FFFFFF" w:themeColor="background1"/>
          <w:sz w:val="32"/>
          <w:szCs w:val="32"/>
          <w14:textFill>
            <w14:solidFill>
              <w14:schemeClr w14:val="bg1"/>
            </w14:solidFill>
          </w14:textFill>
        </w:rPr>
      </w:pPr>
      <w:r>
        <w:rPr>
          <w:rFonts w:hint="eastAsia" w:ascii="黑体" w:hAnsi="黑体" w:eastAsia="黑体" w:cs="黑体"/>
          <w:sz w:val="32"/>
          <w:szCs w:val="32"/>
        </w:rPr>
        <w:t>附件1：帮扶提升标杆企业推荐表</w:t>
      </w:r>
      <w:r>
        <w:rPr>
          <w:rFonts w:hint="eastAsia" w:ascii="黑体" w:hAnsi="黑体" w:eastAsia="黑体" w:cs="黑体"/>
          <w:color w:val="FFFFFF" w:themeColor="background1"/>
          <w:sz w:val="32"/>
          <w:szCs w:val="32"/>
          <w14:textFill>
            <w14:solidFill>
              <w14:schemeClr w14:val="bg1"/>
            </w14:solidFill>
          </w14:textFill>
        </w:rPr>
        <w:t>（暂定名单）</w:t>
      </w:r>
      <w:bookmarkStart w:id="0" w:name="_GoBack"/>
      <w:bookmarkEnd w:id="0"/>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1395"/>
        <w:gridCol w:w="3238"/>
        <w:gridCol w:w="1853"/>
        <w:gridCol w:w="1853"/>
        <w:gridCol w:w="1853"/>
        <w:gridCol w:w="1854"/>
      </w:tblGrid>
      <w:tr w14:paraId="75DC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6" w:type="dxa"/>
            <w:vAlign w:val="center"/>
          </w:tcPr>
          <w:p w14:paraId="2B153942">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序号</w:t>
            </w:r>
          </w:p>
        </w:tc>
        <w:tc>
          <w:tcPr>
            <w:tcW w:w="1395" w:type="dxa"/>
            <w:vAlign w:val="center"/>
          </w:tcPr>
          <w:p w14:paraId="6842676D">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行业类别</w:t>
            </w:r>
          </w:p>
        </w:tc>
        <w:tc>
          <w:tcPr>
            <w:tcW w:w="3238" w:type="dxa"/>
            <w:vAlign w:val="center"/>
          </w:tcPr>
          <w:p w14:paraId="5686A141">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企业名称</w:t>
            </w:r>
          </w:p>
        </w:tc>
        <w:tc>
          <w:tcPr>
            <w:tcW w:w="1853" w:type="dxa"/>
            <w:vAlign w:val="center"/>
          </w:tcPr>
          <w:p w14:paraId="05E52098">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联系人</w:t>
            </w:r>
          </w:p>
        </w:tc>
        <w:tc>
          <w:tcPr>
            <w:tcW w:w="1853" w:type="dxa"/>
            <w:vAlign w:val="center"/>
          </w:tcPr>
          <w:p w14:paraId="422022DD">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联系电话</w:t>
            </w:r>
          </w:p>
        </w:tc>
        <w:tc>
          <w:tcPr>
            <w:tcW w:w="1853" w:type="dxa"/>
            <w:vAlign w:val="center"/>
          </w:tcPr>
          <w:p w14:paraId="65E6423D">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帮包责任人</w:t>
            </w:r>
          </w:p>
        </w:tc>
        <w:tc>
          <w:tcPr>
            <w:tcW w:w="1854" w:type="dxa"/>
            <w:vAlign w:val="center"/>
          </w:tcPr>
          <w:p w14:paraId="4D8802B7">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联系电话</w:t>
            </w:r>
          </w:p>
        </w:tc>
      </w:tr>
      <w:tr w14:paraId="7489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39036B3D">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1</w:t>
            </w:r>
          </w:p>
        </w:tc>
        <w:tc>
          <w:tcPr>
            <w:tcW w:w="1395" w:type="dxa"/>
            <w:vAlign w:val="center"/>
          </w:tcPr>
          <w:p w14:paraId="5335E098">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机械</w:t>
            </w:r>
          </w:p>
        </w:tc>
        <w:tc>
          <w:tcPr>
            <w:tcW w:w="3238" w:type="dxa"/>
            <w:vAlign w:val="center"/>
          </w:tcPr>
          <w:p w14:paraId="54F61477">
            <w:pPr>
              <w:snapToGrid w:val="0"/>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r>
              <w:rPr>
                <w:rFonts w:hint="eastAsia" w:ascii="仿宋_GB2312" w:hAnsi="仿宋_GB2312" w:eastAsia="仿宋_GB2312" w:cs="仿宋_GB2312"/>
                <w:color w:val="FFFFFF" w:themeColor="background1"/>
                <w:sz w:val="24"/>
                <w14:textFill>
                  <w14:solidFill>
                    <w14:schemeClr w14:val="bg1"/>
                  </w14:solidFill>
                </w14:textFill>
              </w:rPr>
              <w:t>山东东行制冷股份有限公司</w:t>
            </w:r>
          </w:p>
        </w:tc>
        <w:tc>
          <w:tcPr>
            <w:tcW w:w="1853" w:type="dxa"/>
            <w:vAlign w:val="center"/>
          </w:tcPr>
          <w:p w14:paraId="7F7BEC9F">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50319655">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19611D6A">
            <w:pPr>
              <w:spacing w:line="560" w:lineRule="exact"/>
              <w:jc w:val="center"/>
              <w:rPr>
                <w:rFonts w:hint="default" w:ascii="仿宋_GB2312" w:hAnsi="仿宋_GB2312" w:eastAsia="仿宋_GB2312" w:cs="仿宋_GB2312"/>
                <w:color w:val="FFFFFF" w:themeColor="background1"/>
                <w:sz w:val="24"/>
                <w:lang w:val="en-US" w:eastAsia="zh-CN"/>
                <w14:textFill>
                  <w14:solidFill>
                    <w14:schemeClr w14:val="bg1"/>
                  </w14:solidFill>
                </w14:textFill>
              </w:rPr>
            </w:pPr>
            <w:r>
              <w:rPr>
                <w:rFonts w:hint="eastAsia" w:ascii="仿宋_GB2312" w:hAnsi="仿宋_GB2312" w:eastAsia="仿宋_GB2312" w:cs="仿宋_GB2312"/>
                <w:color w:val="FFFFFF" w:themeColor="background1"/>
                <w:sz w:val="24"/>
                <w:lang w:val="en-US" w:eastAsia="zh-CN"/>
                <w14:textFill>
                  <w14:solidFill>
                    <w14:schemeClr w14:val="bg1"/>
                  </w14:solidFill>
                </w14:textFill>
              </w:rPr>
              <w:t>李文良</w:t>
            </w:r>
          </w:p>
        </w:tc>
        <w:tc>
          <w:tcPr>
            <w:tcW w:w="1854" w:type="dxa"/>
            <w:vAlign w:val="center"/>
          </w:tcPr>
          <w:p w14:paraId="3DB21984">
            <w:pPr>
              <w:spacing w:line="560" w:lineRule="exact"/>
              <w:jc w:val="center"/>
              <w:rPr>
                <w:rFonts w:hint="eastAsia" w:ascii="仿宋_GB2312" w:hAnsi="仿宋_GB2312" w:eastAsia="仿宋_GB2312" w:cs="仿宋_GB2312"/>
                <w:color w:val="auto"/>
                <w:sz w:val="24"/>
              </w:rPr>
            </w:pPr>
          </w:p>
        </w:tc>
      </w:tr>
      <w:tr w14:paraId="04A3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5F7EBAB7">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2</w:t>
            </w:r>
          </w:p>
        </w:tc>
        <w:tc>
          <w:tcPr>
            <w:tcW w:w="1395" w:type="dxa"/>
            <w:vMerge w:val="restart"/>
            <w:vAlign w:val="center"/>
          </w:tcPr>
          <w:p w14:paraId="1BCDD7B9">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建材</w:t>
            </w:r>
          </w:p>
        </w:tc>
        <w:tc>
          <w:tcPr>
            <w:tcW w:w="3238" w:type="dxa"/>
            <w:vAlign w:val="center"/>
          </w:tcPr>
          <w:p w14:paraId="42D9947F">
            <w:pPr>
              <w:snapToGrid w:val="0"/>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r>
              <w:rPr>
                <w:rFonts w:ascii="仿宋_GB2312" w:hAnsi="仿宋_GB2312" w:eastAsia="仿宋_GB2312" w:cs="仿宋_GB2312"/>
                <w:color w:val="FFFFFF" w:themeColor="background1"/>
                <w:sz w:val="24"/>
                <w14:textFill>
                  <w14:solidFill>
                    <w14:schemeClr w14:val="bg1"/>
                  </w14:solidFill>
                </w14:textFill>
              </w:rPr>
              <w:t>山东路远生态科技有限公司</w:t>
            </w:r>
          </w:p>
        </w:tc>
        <w:tc>
          <w:tcPr>
            <w:tcW w:w="1853" w:type="dxa"/>
            <w:vAlign w:val="center"/>
          </w:tcPr>
          <w:p w14:paraId="3022A022">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3B660395">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Merge w:val="restart"/>
            <w:vAlign w:val="center"/>
          </w:tcPr>
          <w:p w14:paraId="53A42CB1">
            <w:pPr>
              <w:spacing w:line="560" w:lineRule="exact"/>
              <w:jc w:val="center"/>
              <w:rPr>
                <w:rFonts w:hint="eastAsia" w:ascii="仿宋_GB2312" w:hAnsi="仿宋_GB2312" w:eastAsia="仿宋_GB2312" w:cs="仿宋_GB2312"/>
                <w:color w:val="FFFFFF" w:themeColor="background1"/>
                <w:sz w:val="24"/>
                <w:lang w:val="en-US" w:eastAsia="zh-CN"/>
                <w14:textFill>
                  <w14:solidFill>
                    <w14:schemeClr w14:val="bg1"/>
                  </w14:solidFill>
                </w14:textFill>
              </w:rPr>
            </w:pPr>
            <w:r>
              <w:rPr>
                <w:rFonts w:hint="eastAsia" w:ascii="仿宋_GB2312" w:hAnsi="仿宋_GB2312" w:eastAsia="仿宋_GB2312" w:cs="仿宋_GB2312"/>
                <w:color w:val="FFFFFF" w:themeColor="background1"/>
                <w:sz w:val="24"/>
                <w:lang w:val="en-US" w:eastAsia="zh-CN"/>
                <w14:textFill>
                  <w14:solidFill>
                    <w14:schemeClr w14:val="bg1"/>
                  </w14:solidFill>
                </w14:textFill>
              </w:rPr>
              <w:t>孙虓</w:t>
            </w:r>
          </w:p>
        </w:tc>
        <w:tc>
          <w:tcPr>
            <w:tcW w:w="1854" w:type="dxa"/>
            <w:vAlign w:val="center"/>
          </w:tcPr>
          <w:p w14:paraId="5C5359AA">
            <w:pPr>
              <w:spacing w:line="560" w:lineRule="exact"/>
              <w:jc w:val="center"/>
              <w:rPr>
                <w:rFonts w:hint="eastAsia" w:ascii="仿宋_GB2312" w:hAnsi="仿宋_GB2312" w:eastAsia="仿宋_GB2312" w:cs="仿宋_GB2312"/>
                <w:color w:val="auto"/>
                <w:sz w:val="24"/>
              </w:rPr>
            </w:pPr>
          </w:p>
        </w:tc>
      </w:tr>
      <w:tr w14:paraId="208C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1A16D2C0">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3</w:t>
            </w:r>
          </w:p>
        </w:tc>
        <w:tc>
          <w:tcPr>
            <w:tcW w:w="1395" w:type="dxa"/>
            <w:vMerge w:val="continue"/>
            <w:vAlign w:val="center"/>
          </w:tcPr>
          <w:p w14:paraId="789FD19C">
            <w:pPr>
              <w:snapToGrid w:val="0"/>
              <w:spacing w:line="560" w:lineRule="exact"/>
              <w:jc w:val="center"/>
              <w:rPr>
                <w:rFonts w:hint="eastAsia" w:ascii="仿宋_GB2312" w:hAnsi="仿宋_GB2312" w:eastAsia="仿宋_GB2312" w:cs="仿宋_GB2312"/>
                <w:color w:val="auto"/>
                <w:sz w:val="24"/>
              </w:rPr>
            </w:pPr>
          </w:p>
        </w:tc>
        <w:tc>
          <w:tcPr>
            <w:tcW w:w="3238" w:type="dxa"/>
            <w:vAlign w:val="center"/>
          </w:tcPr>
          <w:p w14:paraId="263940EA">
            <w:pPr>
              <w:snapToGrid w:val="0"/>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r>
              <w:rPr>
                <w:rFonts w:hint="eastAsia" w:ascii="仿宋_GB2312" w:hAnsi="仿宋_GB2312" w:eastAsia="仿宋_GB2312" w:cs="仿宋_GB2312"/>
                <w:color w:val="FFFFFF" w:themeColor="background1"/>
                <w:sz w:val="24"/>
                <w14:textFill>
                  <w14:solidFill>
                    <w14:schemeClr w14:val="bg1"/>
                  </w14:solidFill>
                </w14:textFill>
              </w:rPr>
              <w:t>枣庄金正石膏有限公司</w:t>
            </w:r>
          </w:p>
        </w:tc>
        <w:tc>
          <w:tcPr>
            <w:tcW w:w="1853" w:type="dxa"/>
            <w:vAlign w:val="center"/>
          </w:tcPr>
          <w:p w14:paraId="7D7C1291">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1BE14268">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Merge w:val="continue"/>
            <w:vAlign w:val="center"/>
          </w:tcPr>
          <w:p w14:paraId="2BBD61D4">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4" w:type="dxa"/>
            <w:vAlign w:val="center"/>
          </w:tcPr>
          <w:p w14:paraId="1B5ED7E3">
            <w:pPr>
              <w:spacing w:line="560" w:lineRule="exact"/>
              <w:jc w:val="center"/>
              <w:rPr>
                <w:rFonts w:hint="eastAsia" w:ascii="仿宋_GB2312" w:hAnsi="仿宋_GB2312" w:eastAsia="仿宋_GB2312" w:cs="仿宋_GB2312"/>
                <w:color w:val="auto"/>
                <w:sz w:val="24"/>
              </w:rPr>
            </w:pPr>
          </w:p>
        </w:tc>
      </w:tr>
      <w:tr w14:paraId="0B21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5670EE9E">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4</w:t>
            </w:r>
          </w:p>
        </w:tc>
        <w:tc>
          <w:tcPr>
            <w:tcW w:w="1395" w:type="dxa"/>
            <w:vMerge w:val="restart"/>
            <w:vAlign w:val="center"/>
          </w:tcPr>
          <w:p w14:paraId="457F0421">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轻工</w:t>
            </w:r>
          </w:p>
        </w:tc>
        <w:tc>
          <w:tcPr>
            <w:tcW w:w="3238" w:type="dxa"/>
            <w:vAlign w:val="center"/>
          </w:tcPr>
          <w:p w14:paraId="34CE52EF">
            <w:pPr>
              <w:snapToGrid w:val="0"/>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r>
              <w:rPr>
                <w:rFonts w:hint="eastAsia" w:ascii="仿宋_GB2312" w:hAnsi="仿宋_GB2312" w:eastAsia="仿宋_GB2312" w:cs="仿宋_GB2312"/>
                <w:color w:val="FFFFFF" w:themeColor="background1"/>
                <w:sz w:val="24"/>
                <w14:textFill>
                  <w14:solidFill>
                    <w14:schemeClr w14:val="bg1"/>
                  </w14:solidFill>
                </w14:textFill>
              </w:rPr>
              <w:t>山东卜珂食品有限公司</w:t>
            </w:r>
          </w:p>
        </w:tc>
        <w:tc>
          <w:tcPr>
            <w:tcW w:w="1853" w:type="dxa"/>
            <w:vAlign w:val="center"/>
          </w:tcPr>
          <w:p w14:paraId="6A5078B5">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2C33A873">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Merge w:val="restart"/>
            <w:vAlign w:val="center"/>
          </w:tcPr>
          <w:p w14:paraId="54D1FE72">
            <w:pPr>
              <w:spacing w:line="560" w:lineRule="exact"/>
              <w:jc w:val="center"/>
              <w:rPr>
                <w:rFonts w:hint="eastAsia" w:ascii="仿宋_GB2312" w:hAnsi="仿宋_GB2312" w:eastAsia="仿宋_GB2312" w:cs="仿宋_GB2312"/>
                <w:color w:val="FFFFFF" w:themeColor="background1"/>
                <w:sz w:val="24"/>
                <w:lang w:val="en-US" w:eastAsia="zh-CN"/>
                <w14:textFill>
                  <w14:solidFill>
                    <w14:schemeClr w14:val="bg1"/>
                  </w14:solidFill>
                </w14:textFill>
              </w:rPr>
            </w:pPr>
            <w:r>
              <w:rPr>
                <w:rFonts w:hint="eastAsia" w:ascii="仿宋_GB2312" w:hAnsi="仿宋_GB2312" w:eastAsia="仿宋_GB2312" w:cs="仿宋_GB2312"/>
                <w:color w:val="FFFFFF" w:themeColor="background1"/>
                <w:sz w:val="24"/>
                <w:lang w:val="en-US" w:eastAsia="zh-CN"/>
                <w14:textFill>
                  <w14:solidFill>
                    <w14:schemeClr w14:val="bg1"/>
                  </w14:solidFill>
                </w14:textFill>
              </w:rPr>
              <w:t>刘德山</w:t>
            </w:r>
          </w:p>
        </w:tc>
        <w:tc>
          <w:tcPr>
            <w:tcW w:w="1854" w:type="dxa"/>
            <w:vAlign w:val="center"/>
          </w:tcPr>
          <w:p w14:paraId="171B3DDF">
            <w:pPr>
              <w:spacing w:line="560" w:lineRule="exact"/>
              <w:jc w:val="center"/>
              <w:rPr>
                <w:rFonts w:hint="eastAsia" w:ascii="仿宋_GB2312" w:hAnsi="仿宋_GB2312" w:eastAsia="仿宋_GB2312" w:cs="仿宋_GB2312"/>
                <w:color w:val="auto"/>
                <w:sz w:val="24"/>
              </w:rPr>
            </w:pPr>
          </w:p>
        </w:tc>
      </w:tr>
      <w:tr w14:paraId="571C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26" w:type="dxa"/>
            <w:vAlign w:val="center"/>
          </w:tcPr>
          <w:p w14:paraId="1AA2EB56">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5</w:t>
            </w:r>
          </w:p>
        </w:tc>
        <w:tc>
          <w:tcPr>
            <w:tcW w:w="1395" w:type="dxa"/>
            <w:vMerge w:val="continue"/>
            <w:vAlign w:val="center"/>
          </w:tcPr>
          <w:p w14:paraId="772B152F">
            <w:pPr>
              <w:snapToGrid w:val="0"/>
              <w:spacing w:line="560" w:lineRule="exact"/>
              <w:jc w:val="center"/>
              <w:rPr>
                <w:rFonts w:hint="eastAsia" w:ascii="仿宋_GB2312" w:hAnsi="仿宋_GB2312" w:eastAsia="仿宋_GB2312" w:cs="仿宋_GB2312"/>
                <w:color w:val="auto"/>
                <w:sz w:val="24"/>
              </w:rPr>
            </w:pPr>
          </w:p>
        </w:tc>
        <w:tc>
          <w:tcPr>
            <w:tcW w:w="3238" w:type="dxa"/>
            <w:vAlign w:val="center"/>
          </w:tcPr>
          <w:p w14:paraId="4AD8AF33">
            <w:pPr>
              <w:snapToGrid w:val="0"/>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r>
              <w:rPr>
                <w:rFonts w:hint="eastAsia" w:ascii="仿宋_GB2312" w:hAnsi="仿宋_GB2312" w:eastAsia="仿宋_GB2312" w:cs="仿宋_GB2312"/>
                <w:color w:val="FFFFFF" w:themeColor="background1"/>
                <w:sz w:val="24"/>
                <w14:textFill>
                  <w14:solidFill>
                    <w14:schemeClr w14:val="bg1"/>
                  </w14:solidFill>
                </w14:textFill>
              </w:rPr>
              <w:t>枣庄大商包装制品股份有限公司</w:t>
            </w:r>
          </w:p>
        </w:tc>
        <w:tc>
          <w:tcPr>
            <w:tcW w:w="1853" w:type="dxa"/>
            <w:vAlign w:val="center"/>
          </w:tcPr>
          <w:p w14:paraId="75C60C91">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49DD1D19">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Merge w:val="continue"/>
            <w:vAlign w:val="center"/>
          </w:tcPr>
          <w:p w14:paraId="42B21CD3">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4" w:type="dxa"/>
            <w:vAlign w:val="center"/>
          </w:tcPr>
          <w:p w14:paraId="4608B533">
            <w:pPr>
              <w:spacing w:line="560" w:lineRule="exact"/>
              <w:jc w:val="center"/>
              <w:rPr>
                <w:rFonts w:hint="eastAsia" w:ascii="仿宋_GB2312" w:hAnsi="仿宋_GB2312" w:eastAsia="仿宋_GB2312" w:cs="仿宋_GB2312"/>
                <w:color w:val="auto"/>
                <w:sz w:val="24"/>
              </w:rPr>
            </w:pPr>
          </w:p>
        </w:tc>
      </w:tr>
      <w:tr w14:paraId="04C8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926" w:type="dxa"/>
            <w:vAlign w:val="center"/>
          </w:tcPr>
          <w:p w14:paraId="7366F76B">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6</w:t>
            </w:r>
          </w:p>
        </w:tc>
        <w:tc>
          <w:tcPr>
            <w:tcW w:w="1395" w:type="dxa"/>
            <w:vAlign w:val="center"/>
          </w:tcPr>
          <w:p w14:paraId="502EBF47">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商贸</w:t>
            </w:r>
          </w:p>
        </w:tc>
        <w:tc>
          <w:tcPr>
            <w:tcW w:w="3238" w:type="dxa"/>
            <w:vAlign w:val="center"/>
          </w:tcPr>
          <w:p w14:paraId="2C6CE6ED">
            <w:pPr>
              <w:snapToGrid w:val="0"/>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r>
              <w:rPr>
                <w:rFonts w:hint="eastAsia" w:ascii="仿宋_GB2312" w:hAnsi="仿宋_GB2312" w:eastAsia="仿宋_GB2312" w:cs="仿宋_GB2312"/>
                <w:color w:val="FFFFFF" w:themeColor="background1"/>
                <w:sz w:val="24"/>
                <w14:textFill>
                  <w14:solidFill>
                    <w14:schemeClr w14:val="bg1"/>
                  </w14:solidFill>
                </w14:textFill>
              </w:rPr>
              <w:t>枣庄市春天农产品仓储物流有限公司</w:t>
            </w:r>
          </w:p>
        </w:tc>
        <w:tc>
          <w:tcPr>
            <w:tcW w:w="1853" w:type="dxa"/>
            <w:vAlign w:val="center"/>
          </w:tcPr>
          <w:p w14:paraId="68E3EDA8">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0B2144E3">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165C7FCD">
            <w:pPr>
              <w:spacing w:line="560" w:lineRule="exact"/>
              <w:jc w:val="center"/>
              <w:rPr>
                <w:rFonts w:hint="eastAsia" w:ascii="仿宋_GB2312" w:hAnsi="仿宋_GB2312" w:eastAsia="仿宋_GB2312" w:cs="仿宋_GB2312"/>
                <w:color w:val="FFFFFF" w:themeColor="background1"/>
                <w:sz w:val="24"/>
                <w:lang w:val="en-US" w:eastAsia="zh-CN"/>
                <w14:textFill>
                  <w14:solidFill>
                    <w14:schemeClr w14:val="bg1"/>
                  </w14:solidFill>
                </w14:textFill>
              </w:rPr>
            </w:pPr>
            <w:r>
              <w:rPr>
                <w:rFonts w:hint="eastAsia" w:ascii="仿宋_GB2312" w:hAnsi="仿宋_GB2312" w:eastAsia="仿宋_GB2312" w:cs="仿宋_GB2312"/>
                <w:color w:val="FFFFFF" w:themeColor="background1"/>
                <w:sz w:val="24"/>
                <w:lang w:val="en-US" w:eastAsia="zh-CN"/>
                <w14:textFill>
                  <w14:solidFill>
                    <w14:schemeClr w14:val="bg1"/>
                  </w14:solidFill>
                </w14:textFill>
              </w:rPr>
              <w:t>徐涛</w:t>
            </w:r>
          </w:p>
        </w:tc>
        <w:tc>
          <w:tcPr>
            <w:tcW w:w="1854" w:type="dxa"/>
            <w:vAlign w:val="center"/>
          </w:tcPr>
          <w:p w14:paraId="759F8BF3">
            <w:pPr>
              <w:spacing w:line="560" w:lineRule="exact"/>
              <w:jc w:val="center"/>
              <w:rPr>
                <w:rFonts w:hint="eastAsia" w:ascii="仿宋_GB2312" w:hAnsi="仿宋_GB2312" w:eastAsia="仿宋_GB2312" w:cs="仿宋_GB2312"/>
                <w:color w:val="auto"/>
                <w:sz w:val="24"/>
              </w:rPr>
            </w:pPr>
          </w:p>
        </w:tc>
      </w:tr>
      <w:tr w14:paraId="5572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27F1A531">
            <w:pPr>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7</w:t>
            </w:r>
          </w:p>
        </w:tc>
        <w:tc>
          <w:tcPr>
            <w:tcW w:w="1395" w:type="dxa"/>
            <w:vAlign w:val="center"/>
          </w:tcPr>
          <w:p w14:paraId="7C5B15F9">
            <w:pPr>
              <w:snapToGrid w:val="0"/>
              <w:spacing w:line="560" w:lineRule="exact"/>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纺织</w:t>
            </w:r>
          </w:p>
        </w:tc>
        <w:tc>
          <w:tcPr>
            <w:tcW w:w="3238" w:type="dxa"/>
            <w:vAlign w:val="center"/>
          </w:tcPr>
          <w:p w14:paraId="4D66F51B">
            <w:pPr>
              <w:snapToGrid w:val="0"/>
              <w:spacing w:line="560" w:lineRule="exact"/>
              <w:jc w:val="center"/>
              <w:rPr>
                <w:rFonts w:hint="eastAsia" w:ascii="仿宋_GB2312" w:hAnsi="仿宋_GB2312" w:eastAsia="仿宋_GB2312" w:cs="仿宋_GB2312"/>
                <w:color w:val="FFFFFF" w:themeColor="background1"/>
                <w:sz w:val="24"/>
                <w:lang w:eastAsia="zh-CN"/>
                <w14:textFill>
                  <w14:solidFill>
                    <w14:schemeClr w14:val="bg1"/>
                  </w14:solidFill>
                </w14:textFill>
              </w:rPr>
            </w:pPr>
            <w:r>
              <w:rPr>
                <w:rFonts w:hint="eastAsia" w:ascii="仿宋_GB2312" w:hAnsi="仿宋_GB2312" w:eastAsia="仿宋_GB2312" w:cs="仿宋_GB2312"/>
                <w:color w:val="FFFFFF" w:themeColor="background1"/>
                <w:sz w:val="24"/>
                <w:lang w:val="en-US" w:eastAsia="zh-CN"/>
                <w14:textFill>
                  <w14:solidFill>
                    <w14:schemeClr w14:val="bg1"/>
                  </w14:solidFill>
                </w14:textFill>
              </w:rPr>
              <w:t>华兴服饰</w:t>
            </w:r>
          </w:p>
        </w:tc>
        <w:tc>
          <w:tcPr>
            <w:tcW w:w="1853" w:type="dxa"/>
            <w:vAlign w:val="center"/>
          </w:tcPr>
          <w:p w14:paraId="01D5EC32">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06D2F669">
            <w:pPr>
              <w:spacing w:line="560" w:lineRule="exact"/>
              <w:jc w:val="center"/>
              <w:rPr>
                <w:rFonts w:hint="eastAsia" w:ascii="仿宋_GB2312" w:hAnsi="仿宋_GB2312" w:eastAsia="仿宋_GB2312" w:cs="仿宋_GB2312"/>
                <w:color w:val="FFFFFF" w:themeColor="background1"/>
                <w:sz w:val="24"/>
                <w14:textFill>
                  <w14:solidFill>
                    <w14:schemeClr w14:val="bg1"/>
                  </w14:solidFill>
                </w14:textFill>
              </w:rPr>
            </w:pPr>
          </w:p>
        </w:tc>
        <w:tc>
          <w:tcPr>
            <w:tcW w:w="1853" w:type="dxa"/>
            <w:vAlign w:val="center"/>
          </w:tcPr>
          <w:p w14:paraId="6643CF1F">
            <w:pPr>
              <w:spacing w:line="560" w:lineRule="exact"/>
              <w:jc w:val="center"/>
              <w:rPr>
                <w:rFonts w:hint="eastAsia" w:ascii="仿宋_GB2312" w:hAnsi="仿宋_GB2312" w:eastAsia="仿宋_GB2312" w:cs="仿宋_GB2312"/>
                <w:color w:val="FFFFFF" w:themeColor="background1"/>
                <w:sz w:val="24"/>
                <w:lang w:val="en-US" w:eastAsia="zh-CN"/>
                <w14:textFill>
                  <w14:solidFill>
                    <w14:schemeClr w14:val="bg1"/>
                  </w14:solidFill>
                </w14:textFill>
              </w:rPr>
            </w:pPr>
            <w:r>
              <w:rPr>
                <w:rFonts w:hint="eastAsia" w:ascii="仿宋_GB2312" w:hAnsi="仿宋_GB2312" w:eastAsia="仿宋_GB2312" w:cs="仿宋_GB2312"/>
                <w:color w:val="FFFFFF" w:themeColor="background1"/>
                <w:sz w:val="24"/>
                <w:lang w:val="en-US" w:eastAsia="zh-CN"/>
                <w14:textFill>
                  <w14:solidFill>
                    <w14:schemeClr w14:val="bg1"/>
                  </w14:solidFill>
                </w14:textFill>
              </w:rPr>
              <w:t>陈文强</w:t>
            </w:r>
          </w:p>
        </w:tc>
        <w:tc>
          <w:tcPr>
            <w:tcW w:w="1854" w:type="dxa"/>
            <w:vAlign w:val="center"/>
          </w:tcPr>
          <w:p w14:paraId="526DB2D7">
            <w:pPr>
              <w:spacing w:line="560" w:lineRule="exact"/>
              <w:jc w:val="center"/>
              <w:rPr>
                <w:rFonts w:hint="eastAsia" w:ascii="仿宋_GB2312" w:hAnsi="仿宋_GB2312" w:eastAsia="仿宋_GB2312" w:cs="仿宋_GB2312"/>
                <w:color w:val="auto"/>
                <w:sz w:val="24"/>
              </w:rPr>
            </w:pPr>
          </w:p>
        </w:tc>
      </w:tr>
    </w:tbl>
    <w:p w14:paraId="2ECED702"/>
    <w:sectPr>
      <w:footerReference r:id="rId4" w:type="default"/>
      <w:pgSz w:w="16838" w:h="11906" w:orient="landscape"/>
      <w:pgMar w:top="1587" w:right="1701" w:bottom="147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FA4E59-FF6D-48F6-A6AD-9978834D18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847F0AF8-59D9-40D3-BAB0-DBB30D008831}"/>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C8CAF270-D190-4720-86CE-95D9B0A2954A}"/>
  </w:font>
  <w:font w:name="楷体_GB2312">
    <w:panose1 w:val="02010609030101010101"/>
    <w:charset w:val="86"/>
    <w:family w:val="modern"/>
    <w:pitch w:val="default"/>
    <w:sig w:usb0="00000001" w:usb1="080E0000" w:usb2="00000000" w:usb3="00000000" w:csb0="00040000" w:csb1="00000000"/>
    <w:embedRegular r:id="rId4" w:fontKey="{6386DFE1-0624-44C3-BD7B-8047E0BA02F6}"/>
  </w:font>
  <w:font w:name="仿宋">
    <w:panose1 w:val="02010609060101010101"/>
    <w:charset w:val="86"/>
    <w:family w:val="modern"/>
    <w:pitch w:val="default"/>
    <w:sig w:usb0="800002BF" w:usb1="38CF7CFA" w:usb2="00000016" w:usb3="00000000" w:csb0="00040001" w:csb1="00000000"/>
    <w:embedRegular r:id="rId5" w:fontKey="{5C366E53-59C3-4701-AF4A-CF65930C0F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C2477">
    <w:pPr>
      <w:pStyle w:val="5"/>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02987">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3D302987">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CA7597">
                          <w:pPr>
                            <w:pStyle w:val="5"/>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DCA7597">
                    <w:pPr>
                      <w:pStyle w:val="5"/>
                      <w:rPr>
                        <w:rFonts w:hint="eastAsia" w:ascii="宋体" w:hAnsi="宋体" w:eastAsia="宋体" w:cs="宋体"/>
                        <w:sz w:val="28"/>
                        <w:szCs w:val="28"/>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4210685</wp:posOffset>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8F2A7">
                          <w:pPr>
                            <w:pStyle w:val="5"/>
                            <w:rPr>
                              <w:rFonts w:hint="eastAsia" w:asciiTheme="minorEastAsia" w:hAnsi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31.55pt;margin-top:0pt;height:144pt;width:144pt;mso-position-horizontal-relative:margin;mso-wrap-style:none;z-index:251662336;mso-width-relative:page;mso-height-relative:page;" filled="f" stroked="f" coordsize="21600,21600" o:gfxdata="UEsDBAoAAAAAAIdO4kAAAAAAAAAAAAAAAAAEAAAAZHJzL1BLAwQUAAAACACHTuJA6D4DINUAAAAI&#10;AQAADwAAAGRycy9kb3ducmV2LnhtbE2PzU7DMBCE70i8g7VI3KidFqKQxqlERTgi0XDg6MbbJOCf&#10;yHbT8PYsJziOZjTzTbVbrGEzhjh6JyFbCWDoOq9H10t4b5u7AlhMymllvEMJ3xhhV19fVarU/uLe&#10;cD6knlGJi6WSMKQ0lZzHbkCr4spP6Mg7+WBVIhl6roO6ULk1fC1Ezq0aHS0MasL9gN3X4Wwl7Ju2&#10;DTPGYD7wpdl8vj7d4/Mi5e1NJrbAEi7pLwy/+IQONTEd/dnpyIyEPN9kFJVAj8h+fMhIHiWsi0IA&#10;ryv+/0D9A1BLAwQUAAAACACHTuJAmkZxjCsCAABXBAAADgAAAGRycy9lMm9Eb2MueG1srVTNjtMw&#10;EL4j8Q6W7zRtEauqaroqWxUhVexKBXF2HaeJ5D/ZbpPyAPAGnLhw57n6HHx2ki5aOOyBizP2jL/x&#10;981MFretkuQknK+NzulkNKZEaG6KWh9y+unj5tWMEh+YLpg0WuT0LDy9Xb58sWjsXExNZWQhHAGI&#10;9vPG5rQKwc6zzPNKKOZHxgoNZ2mcYgFbd8gKxxqgK5lNx+ObrDGusM5w4T1O152T9ojuOYCmLGsu&#10;1oYfldChQ3VCsgBKvqqtp8v02rIUPNyXpReByJyCaUgrksDexzVbLtj84Jitat4/gT3nCU84KVZr&#10;JL1CrVlg5Ojqv6BUzZ3xpgwjblTWEUmKgMVk/ESbXcWsSFwgtbdX0f3/g+UfTg+O1AU6YUqJZgoV&#10;v3z/dvnx6/LzK8EZBGqsnyNuZxEZ2remRfBw7nEYebelU/ELRgR+yHu+yivaQHi8NJvOZmO4OHzD&#10;BvjZ43XrfHgnjCLRyKlD/ZKs7LT1oQsdQmI2bTa1lKmGUpMmpzev34zThasH4FIjRyTRPTZaod23&#10;PbO9Kc4g5kzXG97yTY3kW+bDA3NoBjwY4xLusZTSIInpLUoq47786zzGo0bwUtKguXKqMUuUyPca&#10;tQNgGAw3GPvB0Ed1Z9CtE4yh5cnEBRfkYJbOqM+YoVXMARfTHJlyGgbzLnQNjhnkYrVKQeg2y8JW&#10;7yyP0FE8b1fHAAGTrlGUToleK/Rbqkw/G7Gh/9ynqMf/wf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6D4DINUAAAAIAQAADwAAAAAAAAABACAAAAAiAAAAZHJzL2Rvd25yZXYueG1sUEsBAhQAFAAA&#10;AAgAh07iQJpGcYwrAgAAVwQAAA4AAAAAAAAAAQAgAAAAJAEAAGRycy9lMm9Eb2MueG1sUEsFBgAA&#10;AAAGAAYAWQEAAMEFAAAAAA==&#10;">
              <v:fill on="f" focussize="0,0"/>
              <v:stroke on="f" weight="0.5pt"/>
              <v:imagedata o:title=""/>
              <o:lock v:ext="edit" aspectratio="f"/>
              <v:textbox inset="0mm,0mm,0mm,0mm" style="mso-fit-shape-to-text:t;">
                <w:txbxContent>
                  <w:p w14:paraId="4C78F2A7">
                    <w:pPr>
                      <w:pStyle w:val="5"/>
                      <w:rPr>
                        <w:rFonts w:hint="eastAsia" w:asciiTheme="minorEastAsia" w:hAnsiTheme="minorEastAsia" w:cstheme="minorEastAsia"/>
                        <w:sz w:val="28"/>
                        <w:szCs w:val="28"/>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44964">
                          <w:pPr>
                            <w:pStyle w:val="5"/>
                            <w:rPr>
                              <w:rFonts w:hint="eastAsia" w:asciiTheme="minorEastAsia" w:hAnsi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E044964">
                    <w:pPr>
                      <w:pStyle w:val="5"/>
                      <w:rPr>
                        <w:rFonts w:hint="eastAsia" w:asciiTheme="minorEastAsia" w:hAnsiTheme="minorEastAsia" w:cstheme="minorEastAsia"/>
                        <w:sz w:val="28"/>
                        <w:szCs w:val="2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49B05">
                          <w:pPr>
                            <w:pStyle w:val="5"/>
                            <w:rPr>
                              <w:rFonts w:hint="eastAsia" w:asciiTheme="majorEastAsia" w:hAnsiTheme="majorEastAsia" w:eastAsiaTheme="majorEastAsia" w:cstheme="major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D049B05">
                    <w:pPr>
                      <w:pStyle w:val="5"/>
                      <w:rPr>
                        <w:rFonts w:hint="eastAsia" w:asciiTheme="majorEastAsia" w:hAnsiTheme="majorEastAsia" w:eastAsiaTheme="majorEastAsia" w:cstheme="maj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758FA">
    <w:pPr>
      <w:pStyle w:val="5"/>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61C1D">
                          <w:pPr>
                            <w:pStyle w:val="5"/>
                          </w:pPr>
                          <w:r>
                            <w:rPr>
                              <w:rFonts w:hint="eastAsia" w:ascii="宋体" w:hAnsi="宋体" w:eastAsia="宋体" w:cs="宋体"/>
                              <w:sz w:val="28"/>
                              <w:szCs w:val="28"/>
                            </w:rPr>
                            <w:t>—8—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3361C1D">
                    <w:pPr>
                      <w:pStyle w:val="5"/>
                    </w:pPr>
                    <w:r>
                      <w:rPr>
                        <w:rFonts w:hint="eastAsia" w:ascii="宋体" w:hAnsi="宋体" w:eastAsia="宋体" w:cs="宋体"/>
                        <w:sz w:val="28"/>
                        <w:szCs w:val="28"/>
                      </w:rPr>
                      <w:t>—8—</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6A324">
                          <w:pPr>
                            <w:pStyle w:val="5"/>
                            <w:rPr>
                              <w:rFonts w:hint="eastAsia" w:ascii="仿宋" w:hAnsi="仿宋" w:eastAsia="仿宋" w:cs="仿宋"/>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BF6A324">
                    <w:pPr>
                      <w:pStyle w:val="5"/>
                      <w:rPr>
                        <w:rFonts w:hint="eastAsia" w:ascii="仿宋" w:hAnsi="仿宋" w:eastAsia="仿宋" w:cs="仿宋"/>
                        <w:sz w:val="28"/>
                        <w:szCs w:val="28"/>
                      </w:rPr>
                    </w:pP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1805305</wp:posOffset>
              </wp:positionH>
              <wp:positionV relativeFrom="paragraph">
                <wp:posOffset>15875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rot="17400000">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3C82D">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42.15pt;margin-top:1.25pt;height:144pt;width:144pt;mso-position-horizontal-relative:margin;mso-wrap-style:none;rotation:-4587520f;z-index:251667456;mso-width-relative:page;mso-height-relative:page;" filled="f" stroked="f" coordsize="21600,21600" o:gfxdata="UEsDBAoAAAAAAIdO4kAAAAAAAAAAAAAAAAAEAAAAZHJzL1BLAwQUAAAACACHTuJAPSkJ1tYAAAAJ&#10;AQAADwAAAGRycy9kb3ducmV2LnhtbE2PwU7DMBBE70j9B2srcaN2AykhxKlaBBfUCwVxduMlsYjX&#10;Uew2ha9nOcFtn2Y0O1Otz74XJxyjC6RhuVAgkJpgHbUa3l6frgoQMRmypg+EGr4wwrqeXVSmtGGi&#10;FzztUys4hGJpNHQpDaWUsenQm7gIAxJrH2H0JjGOrbSjmTjc9zJTaiW9ccQfOjPgQ4fN5/7oNWxW&#10;7n2H3n27x5A/+2koktw2Wl/Ol+oeRMJz+jPDb32uDjV3OoQj2Sh6DVlxc81WPnIQrOe3GfOB+U7l&#10;IOtK/l9Q/wBQSwMEFAAAAAgAh07iQMYmxjszAgAAZAQAAA4AAABkcnMvZTJvRG9jLnhtbK1UzY7T&#10;MBC+I/EOlu80bSlLVTVdla2KkCp2pYI4u47TRPKfbLdJeQB4A05cuPNcfQ4+O01BC4c90IM19ky/&#10;me+bmcxvWyXJUThfG53T0WBIidDcFLXe5/Tjh/WLKSU+MF0wabTI6Ul4ert4/mze2JkYm8rIQjgC&#10;EO1njc1pFYKdZZnnlVDMD4wVGs7SOMUCrm6fFY41QFcyGw+HN1ljXGGd4cJ7vK46J70guqcAmrKs&#10;uVgZflBChw7VCckCKPmqtp4uUrVlKXi4L0svApE5BdOQTiSBvYtntpiz2d4xW9X8UgJ7SgmPOClW&#10;ayS9Qq1YYOTg6r+gVM2d8aYMA25U1hFJioDFaPhIm23FrEhcILW3V9H9/4Pl748PjtRFTieUaKbQ&#10;8PO3r+fvP88/vpBJlKexfoaorUVcaN+YFkPTv3s8RtZt6RRxBuqOXk+G8ZfEAD2CcGh9umot2kB4&#10;xJiOp1PEEQ5ff0G6rEOLqNb58FYYRaKRU4dmJlh23PjQhfYhMVybdS1laqjUpMnpzctXXR1XD8Cl&#10;Ro7Iqas9WqHdtReiO1OcwDNRQW3e8nWN5BvmwwNzmAw8YnfCPY5SGiQxF4uSyrjP/3qP8WgYvJQ0&#10;mLScaiwWJfKdRiMBGHrD9cauN/RB3RmM7ijVkkz8wQXZm6Uz6hMWahlzwMU0R6acht68C920YyG5&#10;WC5TEEbPsrDRW8sjdBTP2+UhQMCkaxSlU+KiFYYvdeayKHG6/7ynqN8fh8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SkJ1tYAAAAJAQAADwAAAAAAAAABACAAAAAiAAAAZHJzL2Rvd25yZXYueG1s&#10;UEsBAhQAFAAAAAgAh07iQMYmxjszAgAAZAQAAA4AAAAAAAAAAQAgAAAAJQEAAGRycy9lMm9Eb2Mu&#10;eG1sUEsFBgAAAAAGAAYAWQEAAMoFAAAAAA==&#10;">
              <v:fill on="f" focussize="0,0"/>
              <v:stroke on="f" weight="0.5pt"/>
              <v:imagedata o:title=""/>
              <o:lock v:ext="edit" aspectratio="f"/>
              <v:textbox inset="0mm,0mm,0mm,0mm" style="mso-fit-shape-to-text:t;">
                <w:txbxContent>
                  <w:p w14:paraId="5B63C82D">
                    <w:pPr>
                      <w:pStyle w:val="5"/>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C21F1">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DC21F1">
                    <w:pPr>
                      <w:pStyle w:val="5"/>
                    </w:pP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1CE83">
                          <w:pPr>
                            <w:pStyle w:val="5"/>
                            <w:rPr>
                              <w:rFonts w:hint="eastAsia" w:asciiTheme="majorEastAsia" w:hAnsiTheme="majorEastAsia" w:eastAsiaTheme="majorEastAsia" w:cstheme="major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BA1CE83">
                    <w:pPr>
                      <w:pStyle w:val="5"/>
                      <w:rPr>
                        <w:rFonts w:hint="eastAsia" w:asciiTheme="majorEastAsia" w:hAnsiTheme="majorEastAsia" w:eastAsiaTheme="majorEastAsia" w:cstheme="majorEastAsia"/>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wODhkNzZkYmVlM2FlMWViMGU5YjEwODkxZjlkMTQifQ=="/>
  </w:docVars>
  <w:rsids>
    <w:rsidRoot w:val="03C261FD"/>
    <w:rsid w:val="001A2449"/>
    <w:rsid w:val="002050D9"/>
    <w:rsid w:val="003B45A4"/>
    <w:rsid w:val="005556F9"/>
    <w:rsid w:val="0062076C"/>
    <w:rsid w:val="00681AF2"/>
    <w:rsid w:val="006F0DCD"/>
    <w:rsid w:val="00E26DFB"/>
    <w:rsid w:val="016C0258"/>
    <w:rsid w:val="02416C13"/>
    <w:rsid w:val="02B071D4"/>
    <w:rsid w:val="02E86850"/>
    <w:rsid w:val="03C261FD"/>
    <w:rsid w:val="03D7681F"/>
    <w:rsid w:val="04DA5C26"/>
    <w:rsid w:val="04E35A1E"/>
    <w:rsid w:val="05AA6A31"/>
    <w:rsid w:val="068943A3"/>
    <w:rsid w:val="08D94D42"/>
    <w:rsid w:val="0AAC3DCB"/>
    <w:rsid w:val="0AF314FB"/>
    <w:rsid w:val="0B553D12"/>
    <w:rsid w:val="0C397871"/>
    <w:rsid w:val="0D215C8A"/>
    <w:rsid w:val="0DAB408B"/>
    <w:rsid w:val="0DFA0E1A"/>
    <w:rsid w:val="0DFA5B87"/>
    <w:rsid w:val="0E3913ED"/>
    <w:rsid w:val="0F416FE5"/>
    <w:rsid w:val="10640A2B"/>
    <w:rsid w:val="10B262A5"/>
    <w:rsid w:val="111D34D4"/>
    <w:rsid w:val="114809B7"/>
    <w:rsid w:val="11547EEF"/>
    <w:rsid w:val="129F5D08"/>
    <w:rsid w:val="12A43F1A"/>
    <w:rsid w:val="13157C10"/>
    <w:rsid w:val="15056979"/>
    <w:rsid w:val="150E70B6"/>
    <w:rsid w:val="161E4A52"/>
    <w:rsid w:val="16396CD1"/>
    <w:rsid w:val="16432189"/>
    <w:rsid w:val="175E5EA3"/>
    <w:rsid w:val="17846D4B"/>
    <w:rsid w:val="17DB4333"/>
    <w:rsid w:val="17F55886"/>
    <w:rsid w:val="18996CB5"/>
    <w:rsid w:val="18DC2AE8"/>
    <w:rsid w:val="1A02029D"/>
    <w:rsid w:val="1BC60752"/>
    <w:rsid w:val="1C0D4CD7"/>
    <w:rsid w:val="1C327337"/>
    <w:rsid w:val="1F90634B"/>
    <w:rsid w:val="1FB738D7"/>
    <w:rsid w:val="20987265"/>
    <w:rsid w:val="20D97F8D"/>
    <w:rsid w:val="20EE50D7"/>
    <w:rsid w:val="214C05A7"/>
    <w:rsid w:val="21AF5D06"/>
    <w:rsid w:val="21B1790D"/>
    <w:rsid w:val="2226440E"/>
    <w:rsid w:val="2235516A"/>
    <w:rsid w:val="25875959"/>
    <w:rsid w:val="25CB3927"/>
    <w:rsid w:val="25E55157"/>
    <w:rsid w:val="268122F4"/>
    <w:rsid w:val="26EF3957"/>
    <w:rsid w:val="29212DE8"/>
    <w:rsid w:val="29D37560"/>
    <w:rsid w:val="2A1A6F3D"/>
    <w:rsid w:val="2A1E0C11"/>
    <w:rsid w:val="2A9C5BA4"/>
    <w:rsid w:val="2AD82F6E"/>
    <w:rsid w:val="2ADD5F90"/>
    <w:rsid w:val="2CE14655"/>
    <w:rsid w:val="2D070398"/>
    <w:rsid w:val="2DA262CA"/>
    <w:rsid w:val="2DCF6290"/>
    <w:rsid w:val="2E0E6DB8"/>
    <w:rsid w:val="2E1E4741"/>
    <w:rsid w:val="2E24482E"/>
    <w:rsid w:val="2E440A2C"/>
    <w:rsid w:val="2E5C6BAB"/>
    <w:rsid w:val="2EC7290C"/>
    <w:rsid w:val="2EED2E72"/>
    <w:rsid w:val="2F4A60EB"/>
    <w:rsid w:val="2FB83480"/>
    <w:rsid w:val="2FF124EE"/>
    <w:rsid w:val="2FFF7182"/>
    <w:rsid w:val="3023122B"/>
    <w:rsid w:val="31A17B9A"/>
    <w:rsid w:val="31A928DC"/>
    <w:rsid w:val="31DD63A0"/>
    <w:rsid w:val="31FB78E6"/>
    <w:rsid w:val="321413DD"/>
    <w:rsid w:val="32675E48"/>
    <w:rsid w:val="33DC5449"/>
    <w:rsid w:val="37D42E21"/>
    <w:rsid w:val="37F071FD"/>
    <w:rsid w:val="380D00E1"/>
    <w:rsid w:val="38274BBC"/>
    <w:rsid w:val="384358B1"/>
    <w:rsid w:val="38B9617B"/>
    <w:rsid w:val="38E7521C"/>
    <w:rsid w:val="38F20100"/>
    <w:rsid w:val="3B281EB3"/>
    <w:rsid w:val="3D006466"/>
    <w:rsid w:val="3D176D48"/>
    <w:rsid w:val="3D1F1C4F"/>
    <w:rsid w:val="3E663E47"/>
    <w:rsid w:val="3EBE590E"/>
    <w:rsid w:val="3EC82FB3"/>
    <w:rsid w:val="3ED44393"/>
    <w:rsid w:val="3F05339C"/>
    <w:rsid w:val="3FAE55EA"/>
    <w:rsid w:val="40F5588E"/>
    <w:rsid w:val="41AD22DE"/>
    <w:rsid w:val="41C040A3"/>
    <w:rsid w:val="425229A6"/>
    <w:rsid w:val="42F83C49"/>
    <w:rsid w:val="44354C47"/>
    <w:rsid w:val="44BD69EB"/>
    <w:rsid w:val="454245ED"/>
    <w:rsid w:val="45576302"/>
    <w:rsid w:val="455C26A8"/>
    <w:rsid w:val="45A33E32"/>
    <w:rsid w:val="45B90202"/>
    <w:rsid w:val="46601D24"/>
    <w:rsid w:val="46D00C57"/>
    <w:rsid w:val="46FF32EA"/>
    <w:rsid w:val="4768162D"/>
    <w:rsid w:val="477F61D9"/>
    <w:rsid w:val="478E6686"/>
    <w:rsid w:val="4824766B"/>
    <w:rsid w:val="499F0DB5"/>
    <w:rsid w:val="49CF2E1E"/>
    <w:rsid w:val="49F04DE4"/>
    <w:rsid w:val="4A8E1B49"/>
    <w:rsid w:val="4B0770BF"/>
    <w:rsid w:val="4C924C68"/>
    <w:rsid w:val="4C965BF0"/>
    <w:rsid w:val="4D700A9E"/>
    <w:rsid w:val="4DDA7AC9"/>
    <w:rsid w:val="4E141D71"/>
    <w:rsid w:val="4E74636C"/>
    <w:rsid w:val="4E8F764A"/>
    <w:rsid w:val="4EEC2B7B"/>
    <w:rsid w:val="4F027362"/>
    <w:rsid w:val="50E84DEF"/>
    <w:rsid w:val="515F5948"/>
    <w:rsid w:val="51C714BE"/>
    <w:rsid w:val="53AF7399"/>
    <w:rsid w:val="540F7027"/>
    <w:rsid w:val="54433155"/>
    <w:rsid w:val="54884F6F"/>
    <w:rsid w:val="54C150EF"/>
    <w:rsid w:val="55325AB8"/>
    <w:rsid w:val="555111B5"/>
    <w:rsid w:val="55E70D0E"/>
    <w:rsid w:val="563445F8"/>
    <w:rsid w:val="56BE6D1E"/>
    <w:rsid w:val="58FC58DC"/>
    <w:rsid w:val="5948767D"/>
    <w:rsid w:val="59751E22"/>
    <w:rsid w:val="59BB5797"/>
    <w:rsid w:val="59F47700"/>
    <w:rsid w:val="5A33532D"/>
    <w:rsid w:val="5B8F47E5"/>
    <w:rsid w:val="5C2F7D76"/>
    <w:rsid w:val="5D0D6309"/>
    <w:rsid w:val="5D7D55CE"/>
    <w:rsid w:val="5EDF1704"/>
    <w:rsid w:val="5F0547C3"/>
    <w:rsid w:val="5F0C38BB"/>
    <w:rsid w:val="5F3202A9"/>
    <w:rsid w:val="5F8D1984"/>
    <w:rsid w:val="5FA736F4"/>
    <w:rsid w:val="604304EE"/>
    <w:rsid w:val="619A6F60"/>
    <w:rsid w:val="6294024D"/>
    <w:rsid w:val="64AA08E2"/>
    <w:rsid w:val="64FA59A3"/>
    <w:rsid w:val="65CD0D2C"/>
    <w:rsid w:val="66D267A8"/>
    <w:rsid w:val="672E1DC3"/>
    <w:rsid w:val="67CE318E"/>
    <w:rsid w:val="67FD341E"/>
    <w:rsid w:val="68EC771B"/>
    <w:rsid w:val="694A1D32"/>
    <w:rsid w:val="69913E1E"/>
    <w:rsid w:val="6997112D"/>
    <w:rsid w:val="6A1521B5"/>
    <w:rsid w:val="6A5657ED"/>
    <w:rsid w:val="6A773014"/>
    <w:rsid w:val="6ABC136F"/>
    <w:rsid w:val="6BD526E8"/>
    <w:rsid w:val="6C9A56E0"/>
    <w:rsid w:val="6D10066D"/>
    <w:rsid w:val="6D6674F8"/>
    <w:rsid w:val="6E9D5D62"/>
    <w:rsid w:val="6EBE229B"/>
    <w:rsid w:val="6EE55D9A"/>
    <w:rsid w:val="6EE964AB"/>
    <w:rsid w:val="6EF01EFA"/>
    <w:rsid w:val="6F2C2F00"/>
    <w:rsid w:val="6F8C7562"/>
    <w:rsid w:val="704A5DA3"/>
    <w:rsid w:val="70C64D47"/>
    <w:rsid w:val="70F3716D"/>
    <w:rsid w:val="712810C8"/>
    <w:rsid w:val="725B321B"/>
    <w:rsid w:val="72B627AA"/>
    <w:rsid w:val="72FA4098"/>
    <w:rsid w:val="73043B10"/>
    <w:rsid w:val="735E42CA"/>
    <w:rsid w:val="738D34B8"/>
    <w:rsid w:val="73AC3DAD"/>
    <w:rsid w:val="742F2ADC"/>
    <w:rsid w:val="748C3B60"/>
    <w:rsid w:val="749A44CF"/>
    <w:rsid w:val="74D1144F"/>
    <w:rsid w:val="75137DDD"/>
    <w:rsid w:val="75A37494"/>
    <w:rsid w:val="76F624C0"/>
    <w:rsid w:val="772C5186"/>
    <w:rsid w:val="77A11BBA"/>
    <w:rsid w:val="77CB652B"/>
    <w:rsid w:val="785044B0"/>
    <w:rsid w:val="788D434B"/>
    <w:rsid w:val="78C935D5"/>
    <w:rsid w:val="79541C84"/>
    <w:rsid w:val="7AB04B7E"/>
    <w:rsid w:val="7B164183"/>
    <w:rsid w:val="7B7D5320"/>
    <w:rsid w:val="7C4A67DB"/>
    <w:rsid w:val="7C5A2AB2"/>
    <w:rsid w:val="7DF3282E"/>
    <w:rsid w:val="7FC6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3">
    <w:name w:val="Body Text"/>
    <w:basedOn w:val="1"/>
    <w:qFormat/>
    <w:uiPriority w:val="1"/>
    <w:pPr>
      <w:spacing w:before="38"/>
      <w:ind w:left="106"/>
    </w:pPr>
    <w:rPr>
      <w:rFonts w:ascii="仿宋_GB2312" w:hAnsi="仿宋_GB2312" w:eastAsia="仿宋_GB2312"/>
      <w:sz w:val="32"/>
      <w:szCs w:val="32"/>
    </w:rPr>
  </w:style>
  <w:style w:type="paragraph" w:styleId="4">
    <w:name w:val="Body Text Indent"/>
    <w:basedOn w:val="1"/>
    <w:next w:val="2"/>
    <w:autoRedefine/>
    <w:unhideWhenUsed/>
    <w:qFormat/>
    <w:uiPriority w:val="99"/>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kern w:val="0"/>
      <w:sz w:val="24"/>
    </w:rPr>
  </w:style>
  <w:style w:type="paragraph" w:styleId="8">
    <w:name w:val="Body Text First Indent 2"/>
    <w:basedOn w:val="4"/>
    <w:next w:val="1"/>
    <w:autoRedefine/>
    <w:unhideWhenUsed/>
    <w:qFormat/>
    <w:uiPriority w:val="99"/>
    <w:pPr>
      <w:ind w:firstLine="420" w:firstLineChars="200"/>
    </w:p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52fd14cb-7133-41f2-997d-1daed67abd68</errorID>
      <errorWord>。</errorWord>
      <group>L1_Grammar</group>
      <groupName>语法问题</groupName>
      <ability>L2_Order</ability>
      <abilityName>语序不当</abilityName>
      <candidateList>
        <item>的后果。</item>
      </candidateList>
      <explain>句子可能没有遵循时空、逻辑顺序，或者介词、关联词等位置不当。</explain>
      <paraID>53CE1D7D</paraID>
      <start>40</start>
      <end>41</end>
      <status>ignored</status>
      <modifiedWord/>
      <trackRevisions>false</trackRevisions>
    </reviewItem>
    <reviewItem>
      <errorID>1730c8ae-671e-4683-a27b-72809eeff21f</errorID>
      <errorWord>诊断与</errorWord>
      <group>L1_Grammar</group>
      <groupName>语法问题</groupName>
      <ability>L2_Order</ability>
      <abilityName>语序不当</abilityName>
      <candidateList>
        <item>与诊断</item>
      </candidateList>
      <explain>句子可能没有遵循时空、逻辑顺序，或者介词、关联词等位置不当。</explain>
      <paraID>38F13395</paraID>
      <start>11</start>
      <end>14</end>
      <status>ignored</status>
      <modifiedWord/>
      <trackRevisions>false</trackRevisions>
    </reviewItem>
    <reviewItem>
      <errorID>51ebf458-b1eb-44bf-b974-1873c6ec6835</errorID>
      <errorWord>急</errorWord>
      <group>L1_Word</group>
      <groupName>字词问题</groupName>
      <ability>L2_Typo</ability>
      <abilityName>字词错误</abilityName>
      <candidateList>
        <item>急局</item>
      </candidateList>
      <explain/>
      <paraID>70A892EC</paraID>
      <start>157</start>
      <end>159</end>
      <status>modified</status>
      <modifiedWord>急局</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A12767-0992-4743-AF8B-1CA02E50AA59}">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2975</Words>
  <Characters>3029</Characters>
  <Lines>21</Lines>
  <Paragraphs>6</Paragraphs>
  <TotalTime>9</TotalTime>
  <ScaleCrop>false</ScaleCrop>
  <LinksUpToDate>false</LinksUpToDate>
  <CharactersWithSpaces>3029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2021-12-05T03:02:00Z</dcterms:created>
  <dc:creator>Administrator</dc:creator>
  <cp:lastModifiedBy>wt</cp:lastModifiedBy>
  <cp:lastPrinted>2026-05-13T07:31:00Z</cp:lastPrinted>
  <dcterms:modified xsi:type="dcterms:W3CDTF">2026-05-26T08:45:03Z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8BC4B8B6255046F790B16C453F3CF64C_13</vt:lpwstr>
  </property>
  <property fmtid="{D5CDD505-2E9C-101B-9397-08002B2CF9AE}" pid="4" name="KSOTemplateDocerSaveRecord">
    <vt:lpwstr>eyJoZGlkIjoiMzYyODQwNGY0YWY0NmJkZGFjODZjYzhhNDFlZmZlNTAiLCJ1c2VySWQiOiIzMjQ5NTgxNDcifQ==</vt:lpwstr>
  </property>
</Properties>
</file>